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22 266 / 86 vom 14. Mai 2019</w:t>
      </w:r>
    </w:p>
    <w:p>
      <w:r>
        <w:t>BL Gerichte, 2019-05-14, DE</w:t>
      </w:r>
    </w:p>
    <w:p>
      <w:r>
        <w:rPr>
          <w:b/>
        </w:rPr>
        <w:t xml:space="preserve">Quelle: </w:t>
      </w:r>
      <w:r>
        <w:t>https://mcp.opencaselaw.ch/entscheid/bl_gerichte_720 22 266 _ 86</w:t>
      </w:r>
    </w:p>
    <w:p>
      <w:r>
        <w:t>FR: BL_GERICHTE 720 22 266 / 86 du 14 mai 2019</w:t>
      </w:r>
    </w:p>
    <w:p>
      <w:r>
        <w:t>IT: BL_GERICHTE 720 22 266 / 86 del 14 maggio 2019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in der Höhe von Fr. 800.-- werden dem Beschwerdeführer auferlegt und mit dem geleisteten Kostenvorschuss in der Höhe von Fr. 800.-- verrechnet.</w:t>
      </w:r>
    </w:p>
    <w:p>
      <w:r>
        <w:rPr>
          <w:b/>
        </w:rPr>
        <w:t>E. 3</w:t>
      </w:r>
    </w:p>
    <w:p>
      <w:r>
        <w:t>Es wird keine Parteientschädigung zugesprochen. Gegen diesen Entscheid erhob der Beschwerdeführer am 26. Juni 2023 Beschwerde beim Bundesgericht (vgl. nach Vorliegen des Urteils: Verfahren-Nr. 8C_432/2023 ).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